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BUSINESS LOAN AGREEMENT</w:t>
      </w:r>
    </w:p>
    <w:p>
      <w:r>
        <w:t>This Business Loan Agreement is dated as of March 14, 2023 between Larkmoor Bank &amp; Trust (“Lender”) and Cobalt Ridge Manufacturing, LLC, an Ohio limited liability company (“Borrower”).</w:t>
      </w:r>
    </w:p>
    <w:p>
      <w:r>
        <w:t xml:space="preserve">1. </w:t>
      </w:r>
      <w:r>
        <w:rPr>
          <w:u w:val="single"/>
        </w:rPr>
        <w:t>Term Loan.</w:t>
      </w:r>
      <w:r>
        <w:t xml:space="preserve"> Lender agrees to make a term loan to Borrower of $1,500,000 for the purchase of equipment, repayable in 60 equal monthly installments.</w:t>
      </w:r>
    </w:p>
    <w:p>
      <w:r>
        <w:t xml:space="preserve">2. </w:t>
      </w:r>
      <w:r>
        <w:rPr>
          <w:u w:val="single"/>
        </w:rPr>
        <w:t>Interest.</w:t>
      </w:r>
      <w:r>
        <w:t xml:space="preserve"> The loan bears interest at a fixed rate of 6.85% per year. After an Event of Default, at Lender’s option, the rate increases by 3.00% per year.</w:t>
      </w:r>
    </w:p>
    <w:p>
      <w:r>
        <w:t xml:space="preserve">3. </w:t>
      </w:r>
      <w:r>
        <w:rPr>
          <w:u w:val="single"/>
        </w:rPr>
        <w:t>Deposit Accounts.</w:t>
      </w:r>
      <w:r>
        <w:t xml:space="preserve"> Borrower shall maintain its primary operating and depository accounts with Lender while any Obligations are outstanding.</w:t>
      </w:r>
    </w:p>
    <w:p>
      <w:r>
        <w:t xml:space="preserve">4. </w:t>
      </w:r>
      <w:r>
        <w:rPr>
          <w:u w:val="single"/>
        </w:rPr>
        <w:t>Financial Covenants.</w:t>
      </w:r>
      <w:r>
        <w:t xml:space="preserve"> Borrower shall maintain a Debt Service Coverage Ratio of not less than 1.20 to 1.00, tested quarterly on a trailing twelve-month basis. If Borrower fails this covenant, Borrower may cure the failure once in any twelve-month period by receiving a cash equity contribution within 15 days after the compliance certificate is due.</w:t>
      </w:r>
    </w:p>
    <w:p>
      <w:r>
        <w:t xml:space="preserve">5. </w:t>
      </w:r>
      <w:r>
        <w:rPr>
          <w:u w:val="single"/>
        </w:rPr>
        <w:t>Events of Default.</w:t>
      </w:r>
      <w:r>
        <w:t xml:space="preserve"> Each of the following is an Event of Default: (a) Borrower fails to pay any amount within 10 days after it is due; (b) Borrower fails to perform any other covenant and the failure continues for 30 days after notice from Lender; (c) any representation proves untrue in any material respect when made; or (d) Borrower becomes insolvent or files for bankruptcy.</w:t>
      </w:r>
    </w:p>
    <w:p>
      <w:r>
        <w:t xml:space="preserve">6. </w:t>
      </w:r>
      <w:r>
        <w:rPr>
          <w:u w:val="single"/>
        </w:rPr>
        <w:t>Governing Law.</w:t>
      </w:r>
      <w:r>
        <w:t xml:space="preserve"> This Agreement is governed by the laws of the State of Ohio.</w:t>
      </w:r>
    </w:p>
    <w:p>
      <w:r>
        <w:t xml:space="preserve">7. </w:t>
      </w:r>
      <w:r>
        <w:rPr>
          <w:u w:val="single"/>
        </w:rPr>
        <w:t>Jury Waiver.</w:t>
      </w:r>
      <w:r>
        <w:t xml:space="preserve"> EACH PARTY WAIVES ITS RIGHT TO A JURY TRIAL IN ANY ACTION ARISING OUT OF THIS AGREEMENT.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